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93E" w:rsidRPr="00772945" w:rsidRDefault="000B793E" w:rsidP="00087345">
      <w:pPr>
        <w:jc w:val="center"/>
        <w:rPr>
          <w:b/>
          <w:bCs/>
          <w:i/>
          <w:iCs/>
          <w:color w:val="7F7F7F"/>
          <w:sz w:val="40"/>
          <w:szCs w:val="40"/>
        </w:rPr>
      </w:pPr>
      <w:r w:rsidRPr="00772945">
        <w:rPr>
          <w:b/>
          <w:bCs/>
          <w:i/>
          <w:iCs/>
          <w:color w:val="7F7F7F"/>
          <w:sz w:val="40"/>
          <w:szCs w:val="40"/>
        </w:rPr>
        <w:t>GRASPS Frame</w:t>
      </w:r>
    </w:p>
    <w:tbl>
      <w:tblPr>
        <w:tblW w:w="0" w:type="auto"/>
        <w:tblInd w:w="-106" w:type="dxa"/>
        <w:tblLook w:val="00A0"/>
      </w:tblPr>
      <w:tblGrid>
        <w:gridCol w:w="2448"/>
        <w:gridCol w:w="7128"/>
      </w:tblGrid>
      <w:tr w:rsidR="000B793E" w:rsidRPr="00B164D9">
        <w:tc>
          <w:tcPr>
            <w:tcW w:w="2448" w:type="dxa"/>
            <w:shd w:val="clear" w:color="auto" w:fill="CC99FF"/>
          </w:tcPr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</w:p>
        </w:tc>
        <w:tc>
          <w:tcPr>
            <w:tcW w:w="7128" w:type="dxa"/>
            <w:shd w:val="clear" w:color="auto" w:fill="CC99FF"/>
          </w:tcPr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</w:p>
        </w:tc>
      </w:tr>
      <w:tr w:rsidR="000B793E" w:rsidRPr="00B164D9">
        <w:trPr>
          <w:trHeight w:val="1227"/>
        </w:trPr>
        <w:tc>
          <w:tcPr>
            <w:tcW w:w="2448" w:type="dxa"/>
            <w:shd w:val="clear" w:color="auto" w:fill="CC99FF"/>
          </w:tcPr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i/>
                <w:iCs/>
                <w:color w:val="FFFFFF"/>
                <w:sz w:val="36"/>
                <w:szCs w:val="36"/>
              </w:rPr>
            </w:pPr>
            <w:r w:rsidRPr="007D0F3A">
              <w:rPr>
                <w:rFonts w:ascii="Cambria" w:hAnsi="Cambria" w:cs="Cambria"/>
                <w:b/>
                <w:bCs/>
                <w:i/>
                <w:iCs/>
                <w:color w:val="FFFFFF"/>
                <w:sz w:val="36"/>
                <w:szCs w:val="36"/>
              </w:rPr>
              <w:t>G</w:t>
            </w:r>
          </w:p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color w:val="FFFFFF"/>
              </w:rPr>
            </w:pPr>
            <w:r w:rsidRPr="007D0F3A">
              <w:rPr>
                <w:rFonts w:ascii="Cambria" w:hAnsi="Cambria" w:cs="Cambria"/>
                <w:color w:val="FFFFFF"/>
              </w:rPr>
              <w:t xml:space="preserve">Real-World </w:t>
            </w:r>
            <w:r w:rsidRPr="007D0F3A">
              <w:rPr>
                <w:rFonts w:ascii="Cambria" w:hAnsi="Cambria" w:cs="Cambria"/>
                <w:b/>
                <w:bCs/>
                <w:color w:val="FFFFFF"/>
              </w:rPr>
              <w:t>Goal</w:t>
            </w:r>
          </w:p>
        </w:tc>
        <w:tc>
          <w:tcPr>
            <w:tcW w:w="7128" w:type="dxa"/>
            <w:shd w:val="clear" w:color="auto" w:fill="CC99FF"/>
          </w:tcPr>
          <w:p w:rsidR="000B793E" w:rsidRPr="007D0F3A" w:rsidRDefault="000B793E" w:rsidP="007D0F3A">
            <w:pPr>
              <w:spacing w:after="0" w:line="240" w:lineRule="auto"/>
              <w:rPr>
                <w:rFonts w:ascii="Cambria" w:hAnsi="Cambria" w:cs="Cambria"/>
                <w:color w:val="FFFFFF"/>
              </w:rPr>
            </w:pPr>
          </w:p>
          <w:p w:rsidR="000B793E" w:rsidRPr="000112F4" w:rsidRDefault="000B793E" w:rsidP="007D0F3A">
            <w:pPr>
              <w:spacing w:after="0" w:line="240" w:lineRule="auto"/>
              <w:rPr>
                <w:rFonts w:ascii="Cambria" w:hAnsi="Cambria"/>
                <w:color w:val="FFFFFF"/>
                <w:lang w:eastAsia="ja-JP"/>
              </w:rPr>
            </w:pPr>
            <w:r>
              <w:rPr>
                <w:rFonts w:ascii="Cambria" w:hAnsi="Cambria" w:cs="Cambria"/>
                <w:color w:val="FFFFFF"/>
                <w:lang w:eastAsia="ja-JP"/>
              </w:rPr>
              <w:t>Students will create</w:t>
            </w:r>
            <w:r w:rsidRPr="007D0F3A">
              <w:rPr>
                <w:rFonts w:ascii="Cambria" w:hAnsi="Cambria" w:cs="Cambria"/>
                <w:color w:val="FFFFFF"/>
              </w:rPr>
              <w:t xml:space="preserve"> a </w:t>
            </w:r>
            <w:r>
              <w:rPr>
                <w:rFonts w:ascii="Cambria" w:hAnsi="Cambria" w:cs="Cambria"/>
                <w:color w:val="FFFFFF"/>
                <w:lang w:eastAsia="ja-JP"/>
              </w:rPr>
              <w:t xml:space="preserve">video for the </w:t>
            </w:r>
            <w:r w:rsidRPr="003B53EC">
              <w:rPr>
                <w:rFonts w:ascii="Cambria" w:hAnsi="Cambria" w:cs="Cambria"/>
                <w:color w:val="FFFFFF"/>
                <w:lang w:eastAsia="ja-JP"/>
              </w:rPr>
              <w:t>Smithsonian National Museum of American History</w:t>
            </w:r>
            <w:r w:rsidRPr="007D0F3A">
              <w:rPr>
                <w:rFonts w:ascii="Cambria" w:hAnsi="Cambria" w:cs="Cambria"/>
                <w:color w:val="FFFFFF"/>
              </w:rPr>
              <w:t xml:space="preserve"> </w:t>
            </w:r>
            <w:r>
              <w:rPr>
                <w:rFonts w:ascii="Cambria" w:hAnsi="Cambria" w:cs="Cambria"/>
                <w:color w:val="FFFFFF"/>
                <w:lang w:eastAsia="ja-JP"/>
              </w:rPr>
              <w:t xml:space="preserve">in which they report the </w:t>
            </w:r>
            <w:r w:rsidRPr="007D0F3A">
              <w:rPr>
                <w:rFonts w:ascii="Cambria" w:hAnsi="Cambria" w:cs="Cambria"/>
                <w:color w:val="FFFFFF"/>
              </w:rPr>
              <w:t>political, social, geographic</w:t>
            </w:r>
            <w:r>
              <w:rPr>
                <w:rFonts w:ascii="Cambria" w:hAnsi="Cambria" w:cs="Cambria"/>
                <w:color w:val="FFFFFF"/>
                <w:lang w:eastAsia="ja-JP"/>
              </w:rPr>
              <w:t>, and economic history of the</w:t>
            </w:r>
            <w:r w:rsidRPr="007D0F3A">
              <w:rPr>
                <w:rFonts w:ascii="Cambria" w:hAnsi="Cambria" w:cs="Cambria"/>
                <w:color w:val="FFFFFF"/>
              </w:rPr>
              <w:t xml:space="preserve"> </w:t>
            </w:r>
            <w:r>
              <w:rPr>
                <w:rFonts w:ascii="Cambria" w:hAnsi="Cambria" w:cs="Cambria"/>
                <w:color w:val="FFFFFF"/>
                <w:lang w:eastAsia="ja-JP"/>
              </w:rPr>
              <w:t xml:space="preserve">Southeast </w:t>
            </w:r>
            <w:r>
              <w:rPr>
                <w:rFonts w:ascii="Cambria" w:hAnsi="Cambria" w:cs="Cambria"/>
                <w:color w:val="FFFFFF"/>
              </w:rPr>
              <w:t>region</w:t>
            </w:r>
            <w:r>
              <w:rPr>
                <w:rFonts w:ascii="Cambria" w:hAnsi="Cambria" w:cs="Cambria"/>
                <w:color w:val="FFFFFF"/>
                <w:lang w:eastAsia="ja-JP"/>
              </w:rPr>
              <w:t xml:space="preserve"> and describe influences and/or changes that connect to the present.</w:t>
            </w:r>
          </w:p>
        </w:tc>
      </w:tr>
      <w:tr w:rsidR="000B793E" w:rsidRPr="00B164D9">
        <w:trPr>
          <w:trHeight w:val="1080"/>
        </w:trPr>
        <w:tc>
          <w:tcPr>
            <w:tcW w:w="2448" w:type="dxa"/>
            <w:shd w:val="clear" w:color="auto" w:fill="A0A0A0"/>
          </w:tcPr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i/>
                <w:iCs/>
                <w:color w:val="FFFFFF"/>
                <w:sz w:val="36"/>
                <w:szCs w:val="36"/>
              </w:rPr>
            </w:pPr>
            <w:r w:rsidRPr="007D0F3A">
              <w:rPr>
                <w:rFonts w:ascii="Cambria" w:hAnsi="Cambria" w:cs="Cambria"/>
                <w:b/>
                <w:bCs/>
                <w:i/>
                <w:iCs/>
                <w:color w:val="FFFFFF"/>
                <w:sz w:val="36"/>
                <w:szCs w:val="36"/>
              </w:rPr>
              <w:t>R</w:t>
            </w:r>
          </w:p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color w:val="FFFFFF"/>
              </w:rPr>
            </w:pPr>
            <w:r w:rsidRPr="007D0F3A">
              <w:rPr>
                <w:rFonts w:ascii="Cambria" w:hAnsi="Cambria" w:cs="Cambria"/>
                <w:color w:val="FFFFFF"/>
              </w:rPr>
              <w:t xml:space="preserve">A meaningful </w:t>
            </w:r>
            <w:r w:rsidRPr="007D0F3A">
              <w:rPr>
                <w:rFonts w:ascii="Cambria" w:hAnsi="Cambria" w:cs="Cambria"/>
                <w:b/>
                <w:bCs/>
                <w:color w:val="FFFFFF"/>
              </w:rPr>
              <w:t>role</w:t>
            </w:r>
            <w:r w:rsidRPr="007D0F3A">
              <w:rPr>
                <w:rFonts w:ascii="Cambria" w:hAnsi="Cambria" w:cs="Cambria"/>
                <w:color w:val="FFFFFF"/>
              </w:rPr>
              <w:t xml:space="preserve"> for the student</w:t>
            </w:r>
          </w:p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color w:val="FFFFFF"/>
              </w:rPr>
            </w:pPr>
          </w:p>
        </w:tc>
        <w:tc>
          <w:tcPr>
            <w:tcW w:w="7128" w:type="dxa"/>
            <w:shd w:val="clear" w:color="auto" w:fill="A0A0A0"/>
          </w:tcPr>
          <w:p w:rsidR="000B793E" w:rsidRPr="007D0F3A" w:rsidRDefault="000B793E" w:rsidP="007D0F3A">
            <w:pPr>
              <w:spacing w:after="0" w:line="240" w:lineRule="auto"/>
              <w:rPr>
                <w:rFonts w:ascii="Cambria" w:hAnsi="Cambria" w:cs="Cambria"/>
                <w:color w:val="FFFFFF"/>
              </w:rPr>
            </w:pPr>
          </w:p>
          <w:p w:rsidR="000B793E" w:rsidRPr="008C683B" w:rsidRDefault="000B793E" w:rsidP="007D0F3A">
            <w:pPr>
              <w:spacing w:after="0" w:line="240" w:lineRule="auto"/>
              <w:rPr>
                <w:rFonts w:ascii="Cambria" w:hAnsi="Cambria"/>
                <w:color w:val="FFFFFF"/>
                <w:lang w:eastAsia="ja-JP"/>
              </w:rPr>
            </w:pPr>
            <w:r w:rsidRPr="007D0F3A">
              <w:rPr>
                <w:rFonts w:ascii="Cambria" w:hAnsi="Cambria" w:cs="Cambria"/>
                <w:color w:val="FFFFFF"/>
              </w:rPr>
              <w:t xml:space="preserve">Students </w:t>
            </w:r>
            <w:r>
              <w:rPr>
                <w:rFonts w:ascii="Cambria" w:hAnsi="Cambria" w:cs="Cambria"/>
                <w:color w:val="FFFFFF"/>
                <w:lang w:eastAsia="ja-JP"/>
              </w:rPr>
              <w:t xml:space="preserve">assume the role of a reporter or expert. Each team of </w:t>
            </w:r>
            <w:r>
              <w:rPr>
                <w:rFonts w:ascii="Cambria" w:hAnsi="Cambria" w:cs="Cambria"/>
                <w:color w:val="FFFFFF"/>
              </w:rPr>
              <w:t>reporters</w:t>
            </w:r>
            <w:r>
              <w:rPr>
                <w:rFonts w:ascii="Cambria" w:hAnsi="Cambria" w:cs="Cambria"/>
                <w:color w:val="FFFFFF"/>
                <w:lang w:eastAsia="ja-JP"/>
              </w:rPr>
              <w:t xml:space="preserve"> and experts </w:t>
            </w:r>
            <w:r w:rsidRPr="007D0F3A">
              <w:rPr>
                <w:rFonts w:ascii="Cambria" w:hAnsi="Cambria" w:cs="Cambria"/>
                <w:color w:val="FFFFFF"/>
              </w:rPr>
              <w:t>repor</w:t>
            </w:r>
            <w:r>
              <w:rPr>
                <w:rFonts w:ascii="Cambria" w:hAnsi="Cambria" w:cs="Cambria"/>
                <w:color w:val="FFFFFF"/>
                <w:lang w:eastAsia="ja-JP"/>
              </w:rPr>
              <w:t>t</w:t>
            </w:r>
            <w:r w:rsidRPr="007D0F3A">
              <w:rPr>
                <w:rFonts w:ascii="Cambria" w:hAnsi="Cambria" w:cs="Cambria"/>
                <w:color w:val="FFFFFF"/>
              </w:rPr>
              <w:t xml:space="preserve"> different aspects</w:t>
            </w:r>
            <w:r>
              <w:rPr>
                <w:rFonts w:ascii="Cambria" w:hAnsi="Cambria" w:cs="Cambria"/>
                <w:color w:val="FFFFFF"/>
                <w:lang w:eastAsia="ja-JP"/>
              </w:rPr>
              <w:t>—assigned—</w:t>
            </w:r>
            <w:r w:rsidRPr="007D0F3A">
              <w:rPr>
                <w:rFonts w:ascii="Cambria" w:hAnsi="Cambria" w:cs="Cambria"/>
                <w:color w:val="FFFFFF"/>
              </w:rPr>
              <w:t xml:space="preserve"> </w:t>
            </w:r>
            <w:r>
              <w:rPr>
                <w:rFonts w:ascii="Cambria" w:hAnsi="Cambria" w:cs="Cambria"/>
                <w:color w:val="FFFFFF"/>
                <w:lang w:eastAsia="ja-JP"/>
              </w:rPr>
              <w:t xml:space="preserve">(e.g., geographical, political) </w:t>
            </w:r>
            <w:r w:rsidRPr="007D0F3A">
              <w:rPr>
                <w:rFonts w:ascii="Cambria" w:hAnsi="Cambria" w:cs="Cambria"/>
                <w:color w:val="FFFFFF"/>
              </w:rPr>
              <w:t xml:space="preserve">of the </w:t>
            </w:r>
            <w:r>
              <w:rPr>
                <w:rFonts w:ascii="Cambria" w:hAnsi="Cambria" w:cs="Cambria"/>
                <w:color w:val="FFFFFF"/>
                <w:lang w:eastAsia="ja-JP"/>
              </w:rPr>
              <w:t>Southeast region</w:t>
            </w:r>
            <w:r w:rsidRPr="007D0F3A">
              <w:rPr>
                <w:rFonts w:ascii="Cambria" w:hAnsi="Cambria" w:cs="Cambria"/>
                <w:color w:val="FFFFFF"/>
              </w:rPr>
              <w:t>.</w:t>
            </w:r>
          </w:p>
        </w:tc>
      </w:tr>
      <w:tr w:rsidR="000B793E" w:rsidRPr="00B164D9">
        <w:trPr>
          <w:trHeight w:val="999"/>
        </w:trPr>
        <w:tc>
          <w:tcPr>
            <w:tcW w:w="2448" w:type="dxa"/>
            <w:shd w:val="clear" w:color="auto" w:fill="CC99FF"/>
          </w:tcPr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i/>
                <w:iCs/>
                <w:color w:val="FFFFFF"/>
                <w:sz w:val="36"/>
                <w:szCs w:val="36"/>
              </w:rPr>
            </w:pPr>
            <w:r w:rsidRPr="007D0F3A">
              <w:rPr>
                <w:rFonts w:ascii="Cambria" w:hAnsi="Cambria" w:cs="Cambria"/>
                <w:b/>
                <w:bCs/>
                <w:i/>
                <w:iCs/>
                <w:color w:val="FFFFFF"/>
                <w:sz w:val="36"/>
                <w:szCs w:val="36"/>
              </w:rPr>
              <w:t>A</w:t>
            </w:r>
          </w:p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color w:val="FFFFFF"/>
              </w:rPr>
            </w:pPr>
            <w:r w:rsidRPr="007D0F3A">
              <w:rPr>
                <w:rFonts w:ascii="Cambria" w:hAnsi="Cambria" w:cs="Cambria"/>
                <w:color w:val="FFFFFF"/>
              </w:rPr>
              <w:t xml:space="preserve">Authentic real-world (or simulated) </w:t>
            </w:r>
            <w:r w:rsidRPr="007D0F3A">
              <w:rPr>
                <w:rFonts w:ascii="Cambria" w:hAnsi="Cambria" w:cs="Cambria"/>
                <w:b/>
                <w:bCs/>
                <w:color w:val="FFFFFF"/>
              </w:rPr>
              <w:t>audience</w:t>
            </w:r>
          </w:p>
        </w:tc>
        <w:tc>
          <w:tcPr>
            <w:tcW w:w="7128" w:type="dxa"/>
            <w:shd w:val="clear" w:color="auto" w:fill="CC99FF"/>
          </w:tcPr>
          <w:p w:rsidR="000B793E" w:rsidRPr="008C683B" w:rsidRDefault="000B793E" w:rsidP="007D0F3A">
            <w:pPr>
              <w:spacing w:after="0" w:line="240" w:lineRule="auto"/>
              <w:rPr>
                <w:rFonts w:ascii="Cambria" w:hAnsi="Cambria"/>
                <w:color w:val="FFFFFF"/>
                <w:lang w:eastAsia="ja-JP"/>
              </w:rPr>
            </w:pPr>
            <w:r>
              <w:rPr>
                <w:rFonts w:ascii="Cambria" w:hAnsi="Cambria" w:cs="Cambria"/>
                <w:color w:val="FFFFFF"/>
                <w:lang w:eastAsia="ja-JP"/>
              </w:rPr>
              <w:t xml:space="preserve">The </w:t>
            </w:r>
            <w:r w:rsidRPr="007D0F3A">
              <w:rPr>
                <w:rFonts w:ascii="Cambria" w:hAnsi="Cambria" w:cs="Cambria"/>
                <w:color w:val="FFFFFF"/>
              </w:rPr>
              <w:t xml:space="preserve">public citizens </w:t>
            </w:r>
            <w:r>
              <w:rPr>
                <w:rFonts w:ascii="Cambria" w:hAnsi="Cambria" w:cs="Cambria"/>
                <w:color w:val="FFFFFF"/>
                <w:lang w:eastAsia="ja-JP"/>
              </w:rPr>
              <w:t xml:space="preserve">and those that visit the </w:t>
            </w:r>
            <w:r w:rsidRPr="003B53EC">
              <w:rPr>
                <w:rFonts w:ascii="Cambria" w:hAnsi="Cambria" w:cs="Cambria"/>
                <w:color w:val="FFFFFF"/>
                <w:lang w:eastAsia="ja-JP"/>
              </w:rPr>
              <w:t>Smithsonian National Museum of American History</w:t>
            </w:r>
            <w:r>
              <w:rPr>
                <w:rFonts w:ascii="Cambria" w:hAnsi="Cambria" w:cs="Cambria"/>
                <w:color w:val="FFFFFF"/>
                <w:lang w:eastAsia="ja-JP"/>
              </w:rPr>
              <w:t xml:space="preserve"> are the audience. </w:t>
            </w:r>
          </w:p>
        </w:tc>
      </w:tr>
      <w:tr w:rsidR="000B793E" w:rsidRPr="00B164D9">
        <w:trPr>
          <w:trHeight w:val="720"/>
        </w:trPr>
        <w:tc>
          <w:tcPr>
            <w:tcW w:w="2448" w:type="dxa"/>
            <w:shd w:val="clear" w:color="auto" w:fill="A0A0A0"/>
          </w:tcPr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i/>
                <w:iCs/>
                <w:color w:val="FFFFFF"/>
                <w:sz w:val="36"/>
                <w:szCs w:val="36"/>
              </w:rPr>
            </w:pPr>
            <w:r w:rsidRPr="007D0F3A">
              <w:rPr>
                <w:rFonts w:ascii="Cambria" w:hAnsi="Cambria" w:cs="Cambria"/>
                <w:b/>
                <w:bCs/>
                <w:i/>
                <w:iCs/>
                <w:color w:val="FFFFFF"/>
                <w:sz w:val="36"/>
                <w:szCs w:val="36"/>
              </w:rPr>
              <w:t>S</w:t>
            </w:r>
          </w:p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color w:val="FFFFFF"/>
              </w:rPr>
            </w:pPr>
            <w:r w:rsidRPr="007D0F3A">
              <w:rPr>
                <w:rFonts w:ascii="Cambria" w:hAnsi="Cambria" w:cs="Cambria"/>
                <w:color w:val="FFFFFF"/>
              </w:rPr>
              <w:t xml:space="preserve">A contextualized </w:t>
            </w:r>
            <w:r w:rsidRPr="007D0F3A">
              <w:rPr>
                <w:rFonts w:ascii="Cambria" w:hAnsi="Cambria" w:cs="Cambria"/>
                <w:b/>
                <w:bCs/>
                <w:color w:val="FFFFFF"/>
              </w:rPr>
              <w:t>situation</w:t>
            </w:r>
            <w:r w:rsidRPr="007D0F3A">
              <w:rPr>
                <w:rFonts w:ascii="Cambria" w:hAnsi="Cambria" w:cs="Cambria"/>
                <w:color w:val="FFFFFF"/>
              </w:rPr>
              <w:t xml:space="preserve"> that involves real-world application(s)</w:t>
            </w:r>
          </w:p>
        </w:tc>
        <w:tc>
          <w:tcPr>
            <w:tcW w:w="7128" w:type="dxa"/>
            <w:shd w:val="clear" w:color="auto" w:fill="A0A0A0"/>
          </w:tcPr>
          <w:p w:rsidR="000B793E" w:rsidRPr="000C25A4" w:rsidRDefault="000B793E" w:rsidP="007D0F3A">
            <w:pPr>
              <w:spacing w:after="0" w:line="240" w:lineRule="auto"/>
              <w:rPr>
                <w:rFonts w:ascii="Cambria" w:hAnsi="Cambria"/>
                <w:color w:val="FFFFFF"/>
                <w:lang w:eastAsia="ja-JP"/>
              </w:rPr>
            </w:pPr>
            <w:r>
              <w:rPr>
                <w:rFonts w:ascii="Cambria" w:hAnsi="Cambria" w:cs="Cambria"/>
                <w:color w:val="FFFFFF"/>
                <w:lang w:eastAsia="ja-JP"/>
              </w:rPr>
              <w:t xml:space="preserve">Students will take on the role of a reporter or an expert. With information they gather (from primary sources), each team will create a video dialogue to organize the content of their video. This video will be viewed by the many people that tour the </w:t>
            </w:r>
            <w:r w:rsidRPr="003B53EC">
              <w:rPr>
                <w:rFonts w:ascii="Cambria" w:hAnsi="Cambria" w:cs="Cambria"/>
                <w:color w:val="FFFFFF"/>
                <w:lang w:eastAsia="ja-JP"/>
              </w:rPr>
              <w:t>Smithsonian National Museum of American History</w:t>
            </w:r>
            <w:r>
              <w:rPr>
                <w:rFonts w:ascii="Cambria" w:hAnsi="Cambria" w:cs="Cambria"/>
                <w:color w:val="FFFFFF"/>
                <w:lang w:eastAsia="ja-JP"/>
              </w:rPr>
              <w:t>.</w:t>
            </w:r>
          </w:p>
        </w:tc>
        <w:bookmarkStart w:id="0" w:name="_GoBack"/>
        <w:bookmarkEnd w:id="0"/>
      </w:tr>
      <w:tr w:rsidR="000B793E" w:rsidRPr="00B164D9">
        <w:trPr>
          <w:trHeight w:val="900"/>
        </w:trPr>
        <w:tc>
          <w:tcPr>
            <w:tcW w:w="2448" w:type="dxa"/>
            <w:shd w:val="clear" w:color="auto" w:fill="CC99FF"/>
          </w:tcPr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i/>
                <w:iCs/>
                <w:color w:val="FFFFFF"/>
                <w:sz w:val="36"/>
                <w:szCs w:val="36"/>
              </w:rPr>
            </w:pPr>
            <w:r w:rsidRPr="007D0F3A">
              <w:rPr>
                <w:rFonts w:ascii="Cambria" w:hAnsi="Cambria" w:cs="Cambria"/>
                <w:b/>
                <w:bCs/>
                <w:i/>
                <w:iCs/>
                <w:color w:val="FFFFFF"/>
                <w:sz w:val="36"/>
                <w:szCs w:val="36"/>
              </w:rPr>
              <w:t>P</w:t>
            </w:r>
          </w:p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color w:val="FFFFFF"/>
              </w:rPr>
            </w:pPr>
            <w:r w:rsidRPr="007D0F3A">
              <w:rPr>
                <w:rFonts w:ascii="Cambria" w:hAnsi="Cambria" w:cs="Cambria"/>
                <w:color w:val="FFFFFF"/>
              </w:rPr>
              <w:t xml:space="preserve">Student-generated culminating </w:t>
            </w:r>
            <w:r w:rsidRPr="007D0F3A">
              <w:rPr>
                <w:rFonts w:ascii="Cambria" w:hAnsi="Cambria" w:cs="Cambria"/>
                <w:b/>
                <w:bCs/>
                <w:color w:val="FFFFFF"/>
              </w:rPr>
              <w:t>products</w:t>
            </w:r>
            <w:r w:rsidRPr="007D0F3A">
              <w:rPr>
                <w:rFonts w:ascii="Cambria" w:hAnsi="Cambria" w:cs="Cambria"/>
                <w:color w:val="FFFFFF"/>
              </w:rPr>
              <w:t xml:space="preserve"> and </w:t>
            </w:r>
            <w:r w:rsidRPr="007D0F3A">
              <w:rPr>
                <w:rFonts w:ascii="Cambria" w:hAnsi="Cambria" w:cs="Cambria"/>
                <w:b/>
                <w:bCs/>
                <w:color w:val="FFFFFF"/>
              </w:rPr>
              <w:t>performances</w:t>
            </w:r>
          </w:p>
        </w:tc>
        <w:tc>
          <w:tcPr>
            <w:tcW w:w="7128" w:type="dxa"/>
            <w:shd w:val="clear" w:color="auto" w:fill="CC99FF"/>
          </w:tcPr>
          <w:p w:rsidR="000B793E" w:rsidRPr="007D0F3A" w:rsidRDefault="000B793E" w:rsidP="007D0F3A">
            <w:pPr>
              <w:spacing w:after="0" w:line="240" w:lineRule="auto"/>
              <w:rPr>
                <w:rFonts w:ascii="Cambria" w:hAnsi="Cambria" w:cs="Cambria"/>
                <w:color w:val="FFFFFF"/>
              </w:rPr>
            </w:pPr>
            <w:r>
              <w:rPr>
                <w:rFonts w:ascii="Cambria" w:hAnsi="Cambria" w:cs="Cambria"/>
                <w:color w:val="FFFFFF"/>
                <w:lang w:eastAsia="ja-JP"/>
              </w:rPr>
              <w:t xml:space="preserve">Each team will have four students and the students will collaborate to create an information video about the Southeastern region of the United States. This video is for the </w:t>
            </w:r>
            <w:r w:rsidRPr="003B53EC">
              <w:rPr>
                <w:rFonts w:ascii="Cambria" w:hAnsi="Cambria" w:cs="Cambria"/>
                <w:color w:val="FFFFFF"/>
                <w:lang w:eastAsia="ja-JP"/>
              </w:rPr>
              <w:t>Smithsonian National Museum of American History</w:t>
            </w:r>
            <w:r>
              <w:rPr>
                <w:rFonts w:ascii="Cambria" w:hAnsi="Cambria" w:cs="Cambria"/>
                <w:color w:val="FFFFFF"/>
                <w:lang w:eastAsia="ja-JP"/>
              </w:rPr>
              <w:t>.</w:t>
            </w:r>
          </w:p>
        </w:tc>
      </w:tr>
      <w:tr w:rsidR="000B793E" w:rsidRPr="00B164D9">
        <w:trPr>
          <w:trHeight w:val="990"/>
        </w:trPr>
        <w:tc>
          <w:tcPr>
            <w:tcW w:w="2448" w:type="dxa"/>
            <w:shd w:val="clear" w:color="auto" w:fill="A0A0A0"/>
          </w:tcPr>
          <w:p w:rsidR="000B793E" w:rsidRDefault="000B793E" w:rsidP="007D0F3A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i/>
                <w:iCs/>
                <w:color w:val="FFFFFF"/>
                <w:sz w:val="36"/>
                <w:szCs w:val="36"/>
                <w:lang w:eastAsia="ja-JP"/>
              </w:rPr>
            </w:pPr>
          </w:p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i/>
                <w:iCs/>
                <w:color w:val="FFFFFF"/>
                <w:sz w:val="36"/>
                <w:szCs w:val="36"/>
              </w:rPr>
            </w:pPr>
            <w:r w:rsidRPr="007D0F3A">
              <w:rPr>
                <w:rFonts w:ascii="Cambria" w:hAnsi="Cambria" w:cs="Cambria"/>
                <w:b/>
                <w:bCs/>
                <w:i/>
                <w:iCs/>
                <w:color w:val="FFFFFF"/>
                <w:sz w:val="36"/>
                <w:szCs w:val="36"/>
              </w:rPr>
              <w:t>S</w:t>
            </w:r>
          </w:p>
          <w:p w:rsidR="000B793E" w:rsidRPr="007D0F3A" w:rsidRDefault="000B793E" w:rsidP="007D0F3A">
            <w:pPr>
              <w:spacing w:after="0" w:line="240" w:lineRule="auto"/>
              <w:jc w:val="center"/>
              <w:rPr>
                <w:rFonts w:ascii="Cambria" w:hAnsi="Cambria" w:cs="Cambria"/>
                <w:color w:val="FFFFFF"/>
              </w:rPr>
            </w:pPr>
            <w:r w:rsidRPr="007D0F3A">
              <w:rPr>
                <w:rFonts w:ascii="Cambria" w:hAnsi="Cambria" w:cs="Cambria"/>
                <w:color w:val="FFFFFF"/>
              </w:rPr>
              <w:t xml:space="preserve">Consensus-driven performance </w:t>
            </w:r>
            <w:r w:rsidRPr="007D0F3A">
              <w:rPr>
                <w:rFonts w:ascii="Cambria" w:hAnsi="Cambria" w:cs="Cambria"/>
                <w:b/>
                <w:bCs/>
                <w:color w:val="FFFFFF"/>
              </w:rPr>
              <w:t xml:space="preserve">standards </w:t>
            </w:r>
            <w:r w:rsidRPr="007D0F3A">
              <w:rPr>
                <w:rFonts w:ascii="Cambria" w:hAnsi="Cambria" w:cs="Cambria"/>
                <w:color w:val="FFFFFF"/>
              </w:rPr>
              <w:t>for judging success</w:t>
            </w:r>
          </w:p>
        </w:tc>
        <w:tc>
          <w:tcPr>
            <w:tcW w:w="7128" w:type="dxa"/>
            <w:shd w:val="clear" w:color="auto" w:fill="A0A0A0"/>
          </w:tcPr>
          <w:p w:rsidR="000B793E" w:rsidRDefault="000B793E" w:rsidP="00EA0178">
            <w:pPr>
              <w:rPr>
                <w:rFonts w:ascii="Cambria" w:hAnsi="Cambria"/>
                <w:color w:val="FFFFFF"/>
                <w:lang w:eastAsia="ja-JP"/>
              </w:rPr>
            </w:pPr>
            <w:r w:rsidRPr="007D0F3A">
              <w:rPr>
                <w:rFonts w:ascii="Cambria" w:hAnsi="Cambria" w:cs="Cambria"/>
                <w:color w:val="FFFFFF"/>
              </w:rPr>
              <w:t>A rubric will be provided for students and stu</w:t>
            </w:r>
            <w:r>
              <w:rPr>
                <w:rFonts w:ascii="Cambria" w:hAnsi="Cambria" w:cs="Cambria"/>
                <w:color w:val="FFFFFF"/>
              </w:rPr>
              <w:t>dents will fill in peer reviews</w:t>
            </w:r>
            <w:r>
              <w:rPr>
                <w:rFonts w:ascii="Cambria" w:hAnsi="Cambria" w:cs="Cambria"/>
                <w:color w:val="FFFFFF"/>
                <w:lang w:eastAsia="ja-JP"/>
              </w:rPr>
              <w:t xml:space="preserve"> during the final presentations of their videos. </w:t>
            </w:r>
          </w:p>
          <w:p w:rsidR="000B793E" w:rsidRDefault="000B793E" w:rsidP="00EA0178">
            <w:pPr>
              <w:rPr>
                <w:rFonts w:ascii="Cambria" w:hAnsi="Cambria" w:cs="Cambria"/>
                <w:color w:val="FFFFFF"/>
                <w:u w:val="single"/>
                <w:lang w:eastAsia="ja-JP"/>
              </w:rPr>
            </w:pPr>
            <w:r w:rsidRPr="003A07C2">
              <w:rPr>
                <w:rFonts w:ascii="Cambria" w:hAnsi="Cambria" w:cs="Cambria"/>
                <w:color w:val="FFFFFF"/>
                <w:u w:val="single"/>
                <w:lang w:eastAsia="ja-JP"/>
              </w:rPr>
              <w:t>Standards</w:t>
            </w:r>
            <w:r>
              <w:rPr>
                <w:rFonts w:ascii="Cambria" w:hAnsi="Cambria" w:cs="Cambria"/>
                <w:color w:val="FFFFFF"/>
                <w:u w:val="single"/>
                <w:lang w:eastAsia="ja-JP"/>
              </w:rPr>
              <w:t xml:space="preserve"> (DoDEA)</w:t>
            </w:r>
          </w:p>
          <w:p w:rsidR="000B793E" w:rsidRDefault="000B793E" w:rsidP="003A07C2">
            <w:pPr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Social Studies</w:t>
            </w:r>
          </w:p>
          <w:p w:rsidR="000B793E" w:rsidRPr="005327FC" w:rsidRDefault="000B793E" w:rsidP="003A07C2">
            <w:pPr>
              <w:rPr>
                <w:rFonts w:ascii="Arial" w:hAnsi="Arial"/>
                <w:b/>
                <w:bCs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4SS2: Students analyze the geographic, political, economic, and social structures in the Southeastern region of the United States.</w:t>
            </w:r>
          </w:p>
        </w:tc>
      </w:tr>
    </w:tbl>
    <w:p w:rsidR="000B793E" w:rsidRDefault="000B793E" w:rsidP="00087345">
      <w:pPr>
        <w:jc w:val="center"/>
      </w:pPr>
    </w:p>
    <w:sectPr w:rsidR="000B793E" w:rsidSect="009E50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345"/>
    <w:rsid w:val="000112F4"/>
    <w:rsid w:val="00072318"/>
    <w:rsid w:val="00087345"/>
    <w:rsid w:val="000B793E"/>
    <w:rsid w:val="000C25A4"/>
    <w:rsid w:val="000E5AF9"/>
    <w:rsid w:val="00167707"/>
    <w:rsid w:val="001B05E5"/>
    <w:rsid w:val="001C6EB6"/>
    <w:rsid w:val="00215412"/>
    <w:rsid w:val="00281497"/>
    <w:rsid w:val="002E5237"/>
    <w:rsid w:val="002F4B5A"/>
    <w:rsid w:val="003A07C2"/>
    <w:rsid w:val="003B53EC"/>
    <w:rsid w:val="005214BC"/>
    <w:rsid w:val="005327FC"/>
    <w:rsid w:val="00540494"/>
    <w:rsid w:val="005476DF"/>
    <w:rsid w:val="005C1394"/>
    <w:rsid w:val="005F066B"/>
    <w:rsid w:val="00647969"/>
    <w:rsid w:val="00692FC3"/>
    <w:rsid w:val="006C682B"/>
    <w:rsid w:val="00714F59"/>
    <w:rsid w:val="00772945"/>
    <w:rsid w:val="007D0F3A"/>
    <w:rsid w:val="008261F4"/>
    <w:rsid w:val="00834D4B"/>
    <w:rsid w:val="008C683B"/>
    <w:rsid w:val="008D2BF9"/>
    <w:rsid w:val="00935079"/>
    <w:rsid w:val="009D049C"/>
    <w:rsid w:val="009E50C1"/>
    <w:rsid w:val="00A05609"/>
    <w:rsid w:val="00AA2F72"/>
    <w:rsid w:val="00AC126C"/>
    <w:rsid w:val="00AD3B38"/>
    <w:rsid w:val="00B164D9"/>
    <w:rsid w:val="00C01829"/>
    <w:rsid w:val="00C10E33"/>
    <w:rsid w:val="00C8330C"/>
    <w:rsid w:val="00DF43C8"/>
    <w:rsid w:val="00E14FD8"/>
    <w:rsid w:val="00EA0178"/>
    <w:rsid w:val="00EB496E"/>
    <w:rsid w:val="00F11972"/>
    <w:rsid w:val="00F43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873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4">
    <w:name w:val="Medium List 2 Accent 4"/>
    <w:basedOn w:val="TableNormal"/>
    <w:uiPriority w:val="99"/>
    <w:rsid w:val="00087345"/>
    <w:rPr>
      <w:rFonts w:ascii="Cambria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0E5AF9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DarkList-Accent2">
    <w:name w:val="Dark List Accent 2"/>
    <w:basedOn w:val="TableNormal"/>
    <w:uiPriority w:val="99"/>
    <w:rsid w:val="000E5AF9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0E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249</Words>
  <Characters>1422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GRASPS Frame</dc:title>
  <dc:subject/>
  <dc:creator>Owner</dc:creator>
  <cp:keywords/>
  <dc:description/>
  <cp:lastModifiedBy>xoxo</cp:lastModifiedBy>
  <cp:revision>4</cp:revision>
  <cp:lastPrinted>2011-11-28T04:07:00Z</cp:lastPrinted>
  <dcterms:created xsi:type="dcterms:W3CDTF">2015-11-02T06:22:00Z</dcterms:created>
  <dcterms:modified xsi:type="dcterms:W3CDTF">2015-11-02T06:24:00Z</dcterms:modified>
</cp:coreProperties>
</file>